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DB" w:rsidRDefault="00194CDB">
      <w:bookmarkStart w:id="0" w:name="_GoBack"/>
      <w:bookmarkEnd w:id="0"/>
    </w:p>
    <w:p w:rsidR="00E25506" w:rsidRDefault="00E25506"/>
    <w:p w:rsidR="00A41E70" w:rsidRPr="00A41E70" w:rsidRDefault="00A41E70" w:rsidP="00E2550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1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California State Law </w:t>
      </w:r>
    </w:p>
    <w:p w:rsidR="00E25506" w:rsidRPr="0007247B" w:rsidRDefault="00E25506" w:rsidP="00E255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LAFCO is an acronym for Local Agency Formation Commission. It is a regulatory agency with county-wide jurisdiction, established by state law, the </w:t>
      </w:r>
      <w:proofErr w:type="spellStart"/>
      <w:r w:rsidRPr="0007247B">
        <w:rPr>
          <w:rFonts w:ascii="Times New Roman" w:hAnsi="Times New Roman" w:cs="Times New Roman"/>
          <w:sz w:val="24"/>
          <w:szCs w:val="24"/>
          <w:shd w:val="clear" w:color="auto" w:fill="FFFFFF"/>
        </w:rPr>
        <w:t>Cortese</w:t>
      </w:r>
      <w:proofErr w:type="spellEnd"/>
      <w:r w:rsidRPr="0007247B">
        <w:rPr>
          <w:rFonts w:ascii="Times New Roman" w:hAnsi="Times New Roman" w:cs="Times New Roman"/>
          <w:sz w:val="24"/>
          <w:szCs w:val="24"/>
          <w:shd w:val="clear" w:color="auto" w:fill="FFFFFF"/>
        </w:rPr>
        <w:t>-Knox Act Local Government Reorganization Act of 2000 (</w:t>
      </w:r>
      <w:proofErr w:type="spellStart"/>
      <w:r w:rsidRPr="0007247B">
        <w:rPr>
          <w:rFonts w:ascii="Times New Roman" w:hAnsi="Times New Roman" w:cs="Times New Roman"/>
          <w:sz w:val="24"/>
          <w:szCs w:val="24"/>
          <w:shd w:val="clear" w:color="auto" w:fill="FFFFFF"/>
        </w:rPr>
        <w:t>CHK</w:t>
      </w:r>
      <w:proofErr w:type="spellEnd"/>
      <w:r w:rsidRPr="0007247B">
        <w:rPr>
          <w:rFonts w:ascii="Times New Roman" w:hAnsi="Times New Roman" w:cs="Times New Roman"/>
          <w:sz w:val="24"/>
          <w:szCs w:val="24"/>
          <w:shd w:val="clear" w:color="auto" w:fill="FFFFFF"/>
        </w:rPr>
        <w:t>)  to coordinate logical and timely changes in local government boundaries, and to insure that services are provided efficiently while agricultural lands are protected.</w:t>
      </w:r>
      <w:r w:rsidR="0007247B" w:rsidRPr="00072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47B" w:rsidRPr="000724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(Government Code Section 56000 </w:t>
      </w:r>
      <w:proofErr w:type="gramStart"/>
      <w:r w:rsidR="0007247B" w:rsidRPr="000724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</w:t>
      </w:r>
      <w:proofErr w:type="gramEnd"/>
      <w:r w:rsidR="0007247B" w:rsidRPr="000724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seq.)</w:t>
      </w:r>
    </w:p>
    <w:p w:rsidR="00E25506" w:rsidRPr="0007247B" w:rsidRDefault="00E25506" w:rsidP="00E255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5506" w:rsidRPr="0007247B" w:rsidRDefault="00E25506" w:rsidP="00E255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47B">
        <w:rPr>
          <w:rFonts w:ascii="Times New Roman" w:hAnsi="Times New Roman" w:cs="Times New Roman"/>
          <w:sz w:val="24"/>
          <w:szCs w:val="24"/>
          <w:shd w:val="clear" w:color="auto" w:fill="FFFFFF"/>
        </w:rPr>
        <w:t>LAFCO is responsible for reviewing and approving proposed jurisdictional boundary changes, including annexations and detachments of territory to and/or from cities and special districts; incorporations of new cities; formations of new special districts; and consolidations, mergers, and dissolutions of existing districts. In addition, LAFCO must review and approve Out-of-Agency service agreements; determine spheres of influence for each city and district; and may initiate proposals involving district consolidation, dissolution, establishment of subsidiary districts, mergers, and reorganizations (combinations of these jurisdictional changes).</w:t>
      </w:r>
    </w:p>
    <w:p w:rsidR="00E25506" w:rsidRPr="0007247B" w:rsidRDefault="00E25506" w:rsidP="00E255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5506" w:rsidRPr="0007247B" w:rsidRDefault="00E25506" w:rsidP="00E255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5506" w:rsidRPr="00A41E70" w:rsidRDefault="00E25506" w:rsidP="00E2550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1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California Environmental Quality Act (</w:t>
      </w:r>
      <w:proofErr w:type="spellStart"/>
      <w:r w:rsidRPr="00A41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CEQA</w:t>
      </w:r>
      <w:proofErr w:type="spellEnd"/>
      <w:r w:rsidRPr="00A41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E25506" w:rsidRPr="0007247B" w:rsidRDefault="00E25506" w:rsidP="00E25506">
      <w:pPr>
        <w:jc w:val="both"/>
        <w:rPr>
          <w:rFonts w:ascii="Times New Roman" w:hAnsi="Times New Roman" w:cs="Times New Roman"/>
          <w:sz w:val="24"/>
          <w:szCs w:val="24"/>
        </w:rPr>
      </w:pPr>
      <w:r w:rsidRPr="000724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The </w:t>
      </w:r>
      <w:proofErr w:type="spellStart"/>
      <w:r w:rsidRPr="000724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CEQA</w:t>
      </w:r>
      <w:proofErr w:type="spellEnd"/>
      <w:r w:rsidRPr="000724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statute</w:t>
      </w:r>
      <w:r w:rsidRPr="00A41E7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4" w:history="1">
        <w:r w:rsidRPr="00A41E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California Public Resources Code § 21000 et seq.</w:t>
        </w:r>
      </w:hyperlink>
      <w:r w:rsidRPr="000724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codifies a statewide policy of environmental protection. According to the act, all state and local agencies must </w:t>
      </w:r>
      <w:proofErr w:type="gramStart"/>
      <w:r w:rsidRPr="000724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give major consideration to</w:t>
      </w:r>
      <w:proofErr w:type="gramEnd"/>
      <w:r w:rsidRPr="000724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environmental protection in regulating public and private activities, and should not approve projects for which there exist feasible and environmentally superior mitigation measures or alternatives. </w:t>
      </w:r>
      <w:r w:rsidRPr="0007247B">
        <w:rPr>
          <w:rFonts w:ascii="Times New Roman" w:hAnsi="Times New Roman" w:cs="Times New Roman"/>
          <w:sz w:val="24"/>
          <w:szCs w:val="24"/>
          <w:shd w:val="clear" w:color="auto" w:fill="FFFFFF"/>
        </w:rPr>
        <w:t>In making decisions</w:t>
      </w:r>
      <w:r w:rsidR="0007247B" w:rsidRPr="0007247B">
        <w:rPr>
          <w:rFonts w:ascii="Times New Roman" w:hAnsi="Times New Roman" w:cs="Times New Roman"/>
          <w:sz w:val="24"/>
          <w:szCs w:val="24"/>
          <w:shd w:val="clear" w:color="auto" w:fill="FFFFFF"/>
        </w:rPr>
        <w:t>, San</w:t>
      </w:r>
      <w:r w:rsidRPr="00072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Joaquin LAFCO is required to comply with the California Environmental Quality Act (</w:t>
      </w:r>
      <w:proofErr w:type="spellStart"/>
      <w:r w:rsidRPr="0007247B">
        <w:rPr>
          <w:rFonts w:ascii="Times New Roman" w:hAnsi="Times New Roman" w:cs="Times New Roman"/>
          <w:sz w:val="24"/>
          <w:szCs w:val="24"/>
          <w:shd w:val="clear" w:color="auto" w:fill="FFFFFF"/>
        </w:rPr>
        <w:t>CEQA</w:t>
      </w:r>
      <w:proofErr w:type="spellEnd"/>
      <w:r w:rsidRPr="00072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sectPr w:rsidR="00E25506" w:rsidRPr="0007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06"/>
    <w:rsid w:val="0007247B"/>
    <w:rsid w:val="00100E7F"/>
    <w:rsid w:val="00194CDB"/>
    <w:rsid w:val="00525617"/>
    <w:rsid w:val="00A41E70"/>
    <w:rsid w:val="00E2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78846-CCFA-4157-A221-4068674E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E7F"/>
  </w:style>
  <w:style w:type="paragraph" w:styleId="Heading1">
    <w:name w:val="heading 1"/>
    <w:basedOn w:val="Normal"/>
    <w:next w:val="Normal"/>
    <w:link w:val="Heading1Char"/>
    <w:uiPriority w:val="9"/>
    <w:qFormat/>
    <w:rsid w:val="00100E7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E7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E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E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E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E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E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E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E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E7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E7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E7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E7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E7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E7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E7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E7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0E7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00E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E7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E7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0E7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00E7F"/>
    <w:rPr>
      <w:b/>
      <w:bCs/>
    </w:rPr>
  </w:style>
  <w:style w:type="character" w:styleId="Emphasis">
    <w:name w:val="Emphasis"/>
    <w:basedOn w:val="DefaultParagraphFont"/>
    <w:uiPriority w:val="20"/>
    <w:qFormat/>
    <w:rsid w:val="00100E7F"/>
    <w:rPr>
      <w:i/>
      <w:iCs/>
    </w:rPr>
  </w:style>
  <w:style w:type="paragraph" w:styleId="NoSpacing">
    <w:name w:val="No Spacing"/>
    <w:uiPriority w:val="1"/>
    <w:qFormat/>
    <w:rsid w:val="00100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0E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0E7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0E7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E7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E7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0E7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0E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0E7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0E7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0E7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E7F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25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nfo.legislature.ca.gov/faces/codes_displayexpandedbranch.xhtml?tocCode=PRC&amp;division=13.&amp;title=&amp;part=&amp;chapter=&amp;articl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County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Stites, Mitzi [LAFCO]</dc:creator>
  <cp:keywords/>
  <dc:description/>
  <cp:lastModifiedBy>Stites, Mitzi [LAFCO]</cp:lastModifiedBy>
  <cp:revision>2</cp:revision>
  <dcterms:created xsi:type="dcterms:W3CDTF">2023-04-12T14:45:00Z</dcterms:created>
  <dcterms:modified xsi:type="dcterms:W3CDTF">2023-04-12T14:45:00Z</dcterms:modified>
</cp:coreProperties>
</file>