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C29FB" w14:textId="71FBCCD4" w:rsidR="00B03F77" w:rsidRPr="00B03F77" w:rsidRDefault="00B03F77" w:rsidP="00B03F77">
      <w:pPr>
        <w:jc w:val="center"/>
        <w:rPr>
          <w:b/>
          <w:bCs/>
          <w:u w:val="single"/>
        </w:rPr>
      </w:pPr>
      <w:r w:rsidRPr="00B03F77">
        <w:rPr>
          <w:b/>
          <w:bCs/>
          <w:u w:val="single"/>
        </w:rPr>
        <w:t>San Joaquin Local Agency Formation Commission</w:t>
      </w:r>
      <w:r w:rsidRPr="00B03F77">
        <w:rPr>
          <w:b/>
          <w:bCs/>
          <w:u w:val="single"/>
        </w:rPr>
        <w:t xml:space="preserve"> Indemnification Agreement</w:t>
      </w:r>
    </w:p>
    <w:p w14:paraId="370FA27D" w14:textId="2D15CFFC" w:rsidR="003C5EF9" w:rsidRDefault="00B03F77" w:rsidP="001C5465">
      <w:pPr>
        <w:spacing w:after="0"/>
      </w:pPr>
      <w:r>
        <w:t>P</w:t>
      </w:r>
      <w:r w:rsidR="003C5EF9">
        <w:t>roperty owner, their successors and assign</w:t>
      </w:r>
      <w:r>
        <w:t>ee</w:t>
      </w:r>
      <w:r w:rsidR="003C5EF9">
        <w:t xml:space="preserve">s, hereby agree to defend, indemnify and hold harmless the </w:t>
      </w:r>
      <w:r w:rsidR="003C5EF9">
        <w:t>San Joaquin Local Agency Formation Commission</w:t>
      </w:r>
      <w:r w:rsidR="001C5465">
        <w:t xml:space="preserve"> (Commission)</w:t>
      </w:r>
      <w:r w:rsidR="003C5EF9">
        <w:t>, its officers, attorneys, agents, and employees</w:t>
      </w:r>
      <w:r w:rsidR="003C5EF9">
        <w:t xml:space="preserve">.  </w:t>
      </w:r>
      <w:r w:rsidR="003C5EF9" w:rsidRPr="003C5EF9">
        <w:t xml:space="preserve">This indemnification shall include, but is not limited to, all damages, costs, expenses, attorney fees or expert witness fees that may be awarded to the prevailing party arising out of or in connection with the approval of the application or related decision, whether or not there is concurrent, passive or active negligence on the part of the Commission, its agents, officers, commissioners and employees. If for any reason, any portion of this indemnification agreement is held to be void or unenforceable by a court of competent jurisdiction, the remainder of the agreement shall remain in full force and effect. </w:t>
      </w:r>
      <w:r w:rsidR="003C5EF9">
        <w:t>This indemnification includes but is not limited to the following:</w:t>
      </w:r>
    </w:p>
    <w:p w14:paraId="3FE604BB" w14:textId="328D69F3" w:rsidR="00AF726F" w:rsidRDefault="00AF726F" w:rsidP="001C5465">
      <w:pPr>
        <w:spacing w:after="0"/>
        <w:ind w:left="720"/>
      </w:pPr>
      <w:r>
        <w:t>I. From any claims, actions, proceedings or liability of any nature (collectively referred to as proceeding) brought against the city or its officers, attorneys, agents or employees, to attack, set aside, void, or annul any action or decision by c</w:t>
      </w:r>
      <w:r>
        <w:t>ommission</w:t>
      </w:r>
      <w:r>
        <w:t xml:space="preserve"> staff, any planning or advisory </w:t>
      </w:r>
      <w:r>
        <w:t>agency or sub-committee</w:t>
      </w:r>
      <w:r>
        <w:t xml:space="preserve">, the </w:t>
      </w:r>
      <w:r>
        <w:t xml:space="preserve">Commission </w:t>
      </w:r>
      <w:r>
        <w:t xml:space="preserve">or other </w:t>
      </w:r>
      <w:r>
        <w:t>Commission</w:t>
      </w:r>
      <w:r>
        <w:t xml:space="preserve"> entity including, but not limited to, any action or decision approving any development or planning permit, license, approval, authorization, amendment, approvals or certifications</w:t>
      </w:r>
      <w:r w:rsidR="0091323E">
        <w:t xml:space="preserve">, including but not limited to those required by </w:t>
      </w:r>
      <w:r>
        <w:t xml:space="preserve">the </w:t>
      </w:r>
      <w:r>
        <w:t xml:space="preserve">Cortese-Knox Hertzberg </w:t>
      </w:r>
      <w:r>
        <w:t>Local Government</w:t>
      </w:r>
      <w:r>
        <w:t xml:space="preserve"> </w:t>
      </w:r>
      <w:r>
        <w:t>Reorganization Act of 2000</w:t>
      </w:r>
      <w:r>
        <w:t xml:space="preserve">, </w:t>
      </w:r>
      <w:r>
        <w:t>California Environmental Quality Act (CEQA) and/or any mitigation monitoring program</w:t>
      </w:r>
      <w:r w:rsidR="00B03F77">
        <w:t xml:space="preserve">.  </w:t>
      </w:r>
      <w:r>
        <w:t xml:space="preserve">This indemnification shall include damages, fees and/or costs awarded against the </w:t>
      </w:r>
      <w:r>
        <w:t>Commission</w:t>
      </w:r>
      <w:r>
        <w:t xml:space="preserve">, if any, and cost of suit, attorney’s fees, and other costs, liabilities and expenses incurred in connection with such proceeding whether incurred by applicant, the </w:t>
      </w:r>
      <w:r>
        <w:t>Commission</w:t>
      </w:r>
      <w:r>
        <w:t xml:space="preserve">, and/or the parties initiating or bringing the proceeding; and </w:t>
      </w:r>
      <w:r>
        <w:t>f</w:t>
      </w:r>
      <w:r>
        <w:t xml:space="preserve">rom any proceeding seeking damages for property damage or personal injuries resulting from development authorized by the </w:t>
      </w:r>
      <w:r>
        <w:t>Commission</w:t>
      </w:r>
      <w:r>
        <w:t xml:space="preserve"> pursuant to this application; and </w:t>
      </w:r>
    </w:p>
    <w:p w14:paraId="7DB38C55" w14:textId="343B1CFF" w:rsidR="00AF726F" w:rsidRDefault="00AF726F" w:rsidP="001C5465">
      <w:pPr>
        <w:spacing w:after="0"/>
        <w:ind w:left="720"/>
      </w:pPr>
      <w:r>
        <w:t xml:space="preserve">For all costs incurred in additional investigation and/or study of, or for supplementing, preparing, redrafting, revising or amending any document (e.g., a negative declaration, EIR, </w:t>
      </w:r>
      <w:r>
        <w:t>annexation</w:t>
      </w:r>
      <w:r>
        <w:t xml:space="preserve"> plan</w:t>
      </w:r>
      <w:r>
        <w:t xml:space="preserve">, development </w:t>
      </w:r>
      <w:r>
        <w:t>plan</w:t>
      </w:r>
      <w:r>
        <w:t xml:space="preserve"> or municipal service review amendment</w:t>
      </w:r>
      <w:r>
        <w:t xml:space="preserve">), if made necessary by the proceeding and if applicant desires to pursue securing these approvals, after initiation of such proceeding, which are condition on the approval of such documents; and </w:t>
      </w:r>
    </w:p>
    <w:p w14:paraId="61A207F8" w14:textId="07906DB5" w:rsidR="00AF726F" w:rsidRDefault="00AF726F" w:rsidP="001C5465">
      <w:pPr>
        <w:spacing w:after="0"/>
        <w:ind w:left="720"/>
      </w:pPr>
      <w:r>
        <w:t xml:space="preserve">II. Applicant (or authorized agent), property owner, their successors and assigns, hereby agree to indemnify the </w:t>
      </w:r>
      <w:r>
        <w:t>Commission</w:t>
      </w:r>
      <w:r>
        <w:t xml:space="preserve"> for </w:t>
      </w:r>
      <w:proofErr w:type="gramStart"/>
      <w:r>
        <w:t>all of</w:t>
      </w:r>
      <w:proofErr w:type="gramEnd"/>
      <w:r>
        <w:t xml:space="preserve"> the </w:t>
      </w:r>
      <w:r>
        <w:t>Commission’s</w:t>
      </w:r>
      <w:r>
        <w:t xml:space="preserve"> costs, fees, </w:t>
      </w:r>
      <w:r>
        <w:lastRenderedPageBreak/>
        <w:t xml:space="preserve">and damages which the </w:t>
      </w:r>
      <w:r>
        <w:t>Commission</w:t>
      </w:r>
      <w:r>
        <w:t xml:space="preserve"> incurs in enforcing the indemnification provisions set forth herein. </w:t>
      </w:r>
    </w:p>
    <w:p w14:paraId="050DA00F" w14:textId="18F83FD0" w:rsidR="003C5EF9" w:rsidRDefault="00AF726F" w:rsidP="003C5EF9">
      <w:pPr>
        <w:ind w:left="720"/>
      </w:pPr>
      <w:r>
        <w:t xml:space="preserve">III. In the event of a proceeding, the </w:t>
      </w:r>
      <w:r>
        <w:t xml:space="preserve">Commission </w:t>
      </w:r>
      <w:r>
        <w:t xml:space="preserve">retains the right to approve counsel to defend the </w:t>
      </w:r>
      <w:r>
        <w:t>Commission</w:t>
      </w:r>
      <w:r>
        <w:t xml:space="preserve">, all significant decisions concerning the </w:t>
      </w:r>
      <w:proofErr w:type="gramStart"/>
      <w:r>
        <w:t>manner in which</w:t>
      </w:r>
      <w:proofErr w:type="gramEnd"/>
      <w:r>
        <w:t xml:space="preserve"> the defense is conducted, and </w:t>
      </w:r>
      <w:proofErr w:type="gramStart"/>
      <w:r>
        <w:t>any and all</w:t>
      </w:r>
      <w:proofErr w:type="gramEnd"/>
      <w:r>
        <w:t xml:space="preserve"> settlements, which approval shall not be reasonably withheld. The </w:t>
      </w:r>
      <w:r>
        <w:t>Commission</w:t>
      </w:r>
      <w:r>
        <w:t xml:space="preserve"> has the right not to participate in the defense, except that the </w:t>
      </w:r>
      <w:r>
        <w:t>Commission</w:t>
      </w:r>
      <w:r>
        <w:t xml:space="preserve"> agrees to cooperate with the applicant in the defense of the proceeding. If the </w:t>
      </w:r>
      <w:r>
        <w:t>Commission</w:t>
      </w:r>
      <w:r>
        <w:t xml:space="preserve"> chooses its own counsel to defend the </w:t>
      </w:r>
      <w:r w:rsidR="003C5EF9">
        <w:t>Commission</w:t>
      </w:r>
      <w:r>
        <w:t xml:space="preserve">, the fees and </w:t>
      </w:r>
      <w:r w:rsidR="003C5EF9">
        <w:t>a</w:t>
      </w:r>
      <w:r w:rsidR="00DA4F14">
        <w:t xml:space="preserve">s part of this application, the applicant agrees to defend, indemnify, and hold harmless the </w:t>
      </w:r>
      <w:r w:rsidR="00DA4F14">
        <w:t>Commission</w:t>
      </w:r>
      <w:r w:rsidR="00DA4F14">
        <w:t xml:space="preserve">, its agents, officers, </w:t>
      </w:r>
      <w:r w:rsidR="00DA4F14">
        <w:t>Commissioners</w:t>
      </w:r>
      <w:r w:rsidR="00DA4F14">
        <w:t xml:space="preserve">, </w:t>
      </w:r>
      <w:r w:rsidR="00DA4F14">
        <w:t xml:space="preserve">and </w:t>
      </w:r>
      <w:r w:rsidR="00DA4F14">
        <w:t xml:space="preserve">employees, from any claim, action or proceeding brought against any of the foregoing individuals or entities, the purpose of which is to attack, set aside, void, or annul any approval of the application or related decision, or the adoption of any </w:t>
      </w:r>
      <w:r w:rsidR="003C5EF9">
        <w:t>documents</w:t>
      </w:r>
      <w:r w:rsidR="0091323E">
        <w:t>, including but not limited to those</w:t>
      </w:r>
      <w:r w:rsidR="003C5EF9">
        <w:t xml:space="preserve"> required by the California Environmental Quality Act or the Cortese-Knox Hertzberg </w:t>
      </w:r>
      <w:r w:rsidR="003C5EF9">
        <w:t>Local Government</w:t>
      </w:r>
      <w:r w:rsidR="003C5EF9">
        <w:t xml:space="preserve"> </w:t>
      </w:r>
      <w:r w:rsidR="003C5EF9">
        <w:t>Reorganization Act of 2000</w:t>
      </w:r>
      <w:r w:rsidR="00DA4F14">
        <w:t xml:space="preserve"> relat</w:t>
      </w:r>
      <w:r w:rsidR="0091323E">
        <w:t>ing</w:t>
      </w:r>
      <w:r w:rsidR="00DA4F14">
        <w:t xml:space="preserve"> to </w:t>
      </w:r>
      <w:r w:rsidR="0091323E">
        <w:t>project</w:t>
      </w:r>
      <w:r w:rsidR="00DA4F14">
        <w:t xml:space="preserve"> approval. </w:t>
      </w:r>
      <w:r w:rsidR="003C5EF9">
        <w:t xml:space="preserve">If the </w:t>
      </w:r>
      <w:r w:rsidR="003C5EF9">
        <w:t>Commission</w:t>
      </w:r>
      <w:r w:rsidR="003C5EF9">
        <w:t xml:space="preserve"> chooses its own counsel to defend the </w:t>
      </w:r>
      <w:r w:rsidR="003C5EF9">
        <w:t>Commission</w:t>
      </w:r>
      <w:r w:rsidR="003C5EF9">
        <w:t xml:space="preserve">, the fees and expenses of the counsel selected by the </w:t>
      </w:r>
      <w:r w:rsidR="003C5EF9">
        <w:t>Commission</w:t>
      </w:r>
      <w:r w:rsidR="003C5EF9">
        <w:t xml:space="preserve"> shall be paid by the </w:t>
      </w:r>
      <w:r w:rsidR="003C5EF9">
        <w:t>Commission</w:t>
      </w:r>
      <w:r w:rsidR="003C5EF9">
        <w:t xml:space="preserve">. Notwithstanding the above, if the </w:t>
      </w:r>
      <w:r w:rsidR="003C5EF9">
        <w:t>Commission</w:t>
      </w:r>
      <w:r w:rsidR="003C5EF9">
        <w:t xml:space="preserve"> </w:t>
      </w:r>
      <w:r w:rsidR="003C5EF9">
        <w:t>A</w:t>
      </w:r>
      <w:r w:rsidR="003C5EF9">
        <w:t xml:space="preserve">ttorney’s participates in the defense, all </w:t>
      </w:r>
      <w:r w:rsidR="003C5EF9">
        <w:t>Commission</w:t>
      </w:r>
      <w:r w:rsidR="003C5EF9">
        <w:t xml:space="preserve"> </w:t>
      </w:r>
      <w:r w:rsidR="003C5EF9">
        <w:t>A</w:t>
      </w:r>
      <w:r w:rsidR="003C5EF9">
        <w:t>ttorney fees and costs shall be paid by the applicant.</w:t>
      </w:r>
    </w:p>
    <w:p w14:paraId="702697B0" w14:textId="77777777" w:rsidR="00D517A3" w:rsidRDefault="00D517A3" w:rsidP="00D517A3">
      <w:r>
        <w:t xml:space="preserve">Property Owner: </w:t>
      </w:r>
    </w:p>
    <w:p w14:paraId="13963F6B" w14:textId="77777777" w:rsidR="00D517A3" w:rsidRDefault="00D517A3" w:rsidP="00D517A3">
      <w:pPr>
        <w:spacing w:after="0" w:line="240" w:lineRule="auto"/>
      </w:pPr>
      <w:r>
        <w:t xml:space="preserve">___________________________________ </w:t>
      </w:r>
    </w:p>
    <w:p w14:paraId="1056C903" w14:textId="5B8C5EF2" w:rsidR="003C5EF9" w:rsidRDefault="00D517A3" w:rsidP="00D517A3">
      <w:pPr>
        <w:spacing w:after="0" w:line="240" w:lineRule="auto"/>
      </w:pPr>
      <w:r>
        <w:t>Print Name</w:t>
      </w:r>
      <w:r>
        <w:tab/>
      </w:r>
      <w:r>
        <w:tab/>
      </w:r>
      <w:r>
        <w:tab/>
      </w:r>
      <w:r>
        <w:tab/>
      </w:r>
      <w:r>
        <w:tab/>
      </w:r>
    </w:p>
    <w:p w14:paraId="57E68592" w14:textId="146CCFCB" w:rsidR="00D517A3" w:rsidRDefault="00D517A3" w:rsidP="00D517A3">
      <w:pPr>
        <w:spacing w:after="0"/>
      </w:pPr>
      <w:r>
        <w:t>_____________________________</w:t>
      </w:r>
      <w:proofErr w:type="gramStart"/>
      <w:r>
        <w:t>__</w:t>
      </w:r>
      <w:proofErr w:type="gramEnd"/>
      <w:r>
        <w:t>_____</w:t>
      </w:r>
      <w:r>
        <w:tab/>
        <w:t>___________________________</w:t>
      </w:r>
    </w:p>
    <w:p w14:paraId="6D77976D" w14:textId="3727448D" w:rsidR="00D517A3" w:rsidRDefault="00D517A3" w:rsidP="00D517A3">
      <w:pPr>
        <w:spacing w:after="0"/>
      </w:pPr>
      <w:r>
        <w:t>Signature</w:t>
      </w:r>
      <w:r>
        <w:tab/>
      </w:r>
      <w:r>
        <w:tab/>
      </w:r>
      <w:r>
        <w:tab/>
      </w:r>
      <w:r>
        <w:tab/>
      </w:r>
      <w:r>
        <w:tab/>
        <w:t>Date</w:t>
      </w:r>
    </w:p>
    <w:p w14:paraId="7DEF1C71" w14:textId="77777777" w:rsidR="00D517A3" w:rsidRDefault="00D517A3" w:rsidP="00D517A3">
      <w:pPr>
        <w:spacing w:after="0"/>
      </w:pPr>
    </w:p>
    <w:p w14:paraId="32DFA0BF" w14:textId="79AD06E9" w:rsidR="00D517A3" w:rsidRDefault="00D517A3" w:rsidP="00D517A3">
      <w:r>
        <w:t>Authorized Applicant:</w:t>
      </w:r>
    </w:p>
    <w:p w14:paraId="0BDF8CCD" w14:textId="77777777" w:rsidR="00D517A3" w:rsidRDefault="00D517A3" w:rsidP="00D517A3">
      <w:pPr>
        <w:spacing w:after="0"/>
      </w:pPr>
      <w:r>
        <w:t xml:space="preserve">___________________________________ </w:t>
      </w:r>
    </w:p>
    <w:p w14:paraId="1A295510" w14:textId="77777777" w:rsidR="00D517A3" w:rsidRDefault="00D517A3" w:rsidP="00D517A3">
      <w:pPr>
        <w:spacing w:after="0"/>
      </w:pPr>
      <w:r>
        <w:t>Print Name</w:t>
      </w:r>
      <w:r>
        <w:tab/>
      </w:r>
      <w:r>
        <w:tab/>
      </w:r>
      <w:r>
        <w:tab/>
      </w:r>
      <w:r>
        <w:tab/>
      </w:r>
      <w:r>
        <w:tab/>
      </w:r>
    </w:p>
    <w:p w14:paraId="3EB11051" w14:textId="77777777" w:rsidR="00D517A3" w:rsidRDefault="00D517A3" w:rsidP="00D517A3">
      <w:pPr>
        <w:spacing w:after="0"/>
      </w:pPr>
      <w:r>
        <w:t>_____________________________</w:t>
      </w:r>
      <w:proofErr w:type="gramStart"/>
      <w:r>
        <w:t>__</w:t>
      </w:r>
      <w:proofErr w:type="gramEnd"/>
      <w:r>
        <w:t>_____</w:t>
      </w:r>
      <w:r>
        <w:tab/>
        <w:t>___________________________</w:t>
      </w:r>
    </w:p>
    <w:p w14:paraId="158EAFEB" w14:textId="29CBD489" w:rsidR="00D517A3" w:rsidRDefault="00D517A3" w:rsidP="00D517A3">
      <w:pPr>
        <w:spacing w:after="0"/>
      </w:pPr>
      <w:r>
        <w:t>Signature</w:t>
      </w:r>
      <w:r>
        <w:tab/>
      </w:r>
      <w:r>
        <w:tab/>
      </w:r>
      <w:r>
        <w:tab/>
      </w:r>
      <w:r>
        <w:tab/>
      </w:r>
      <w:r>
        <w:tab/>
        <w:t>Date</w:t>
      </w:r>
    </w:p>
    <w:p w14:paraId="4DF38511" w14:textId="77777777" w:rsidR="00D517A3" w:rsidRDefault="00D517A3" w:rsidP="00D517A3">
      <w:pPr>
        <w:spacing w:after="0"/>
      </w:pPr>
    </w:p>
    <w:p w14:paraId="25E1279F" w14:textId="77777777" w:rsidR="00B03F77" w:rsidRDefault="00B03F77" w:rsidP="00B03F77">
      <w:pPr>
        <w:spacing w:after="0"/>
      </w:pPr>
      <w:r>
        <w:t>Authorized Applicant:</w:t>
      </w:r>
    </w:p>
    <w:p w14:paraId="49B9B3E3" w14:textId="77777777" w:rsidR="00B03F77" w:rsidRDefault="00B03F77" w:rsidP="00B03F77">
      <w:pPr>
        <w:spacing w:after="0"/>
      </w:pPr>
      <w:r>
        <w:t xml:space="preserve">___________________________________ </w:t>
      </w:r>
    </w:p>
    <w:p w14:paraId="7436DCFC" w14:textId="77777777" w:rsidR="00B03F77" w:rsidRDefault="00B03F77" w:rsidP="00B03F77">
      <w:pPr>
        <w:spacing w:after="0"/>
      </w:pPr>
      <w:r>
        <w:t>Print Name</w:t>
      </w:r>
      <w:r>
        <w:tab/>
      </w:r>
      <w:r>
        <w:tab/>
      </w:r>
      <w:r>
        <w:tab/>
      </w:r>
      <w:r>
        <w:tab/>
      </w:r>
      <w:r>
        <w:tab/>
      </w:r>
    </w:p>
    <w:p w14:paraId="77C8A15C" w14:textId="77777777" w:rsidR="00B03F77" w:rsidRDefault="00B03F77" w:rsidP="00B03F77">
      <w:pPr>
        <w:spacing w:after="0"/>
      </w:pPr>
      <w:r>
        <w:t>_____________________________</w:t>
      </w:r>
      <w:proofErr w:type="gramStart"/>
      <w:r>
        <w:t>__</w:t>
      </w:r>
      <w:proofErr w:type="gramEnd"/>
      <w:r>
        <w:t>_____</w:t>
      </w:r>
      <w:r>
        <w:tab/>
        <w:t>___________________________</w:t>
      </w:r>
    </w:p>
    <w:p w14:paraId="5A3141A5" w14:textId="66E34353" w:rsidR="00B03F77" w:rsidRDefault="00B03F77" w:rsidP="00B03F77">
      <w:pPr>
        <w:spacing w:after="0"/>
      </w:pPr>
      <w:r>
        <w:lastRenderedPageBreak/>
        <w:t>Signature</w:t>
      </w:r>
      <w:r>
        <w:tab/>
      </w:r>
      <w:r>
        <w:tab/>
      </w:r>
      <w:r>
        <w:tab/>
      </w:r>
      <w:r>
        <w:tab/>
      </w:r>
      <w:r>
        <w:tab/>
        <w:t>Date</w:t>
      </w:r>
    </w:p>
    <w:sectPr w:rsidR="00B03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revisionView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F14"/>
    <w:rsid w:val="001C5465"/>
    <w:rsid w:val="003C5EF9"/>
    <w:rsid w:val="0091323E"/>
    <w:rsid w:val="00AF726F"/>
    <w:rsid w:val="00B03F77"/>
    <w:rsid w:val="00D517A3"/>
    <w:rsid w:val="00DA4F14"/>
    <w:rsid w:val="00E91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9D03C"/>
  <w15:chartTrackingRefBased/>
  <w15:docId w15:val="{EDBD30A6-BD69-4781-8146-A3EAC2C31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F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4F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4F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4F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4F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4F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4F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4F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4F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F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4F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4F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4F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4F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4F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4F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4F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4F14"/>
    <w:rPr>
      <w:rFonts w:eastAsiaTheme="majorEastAsia" w:cstheme="majorBidi"/>
      <w:color w:val="272727" w:themeColor="text1" w:themeTint="D8"/>
    </w:rPr>
  </w:style>
  <w:style w:type="paragraph" w:styleId="Title">
    <w:name w:val="Title"/>
    <w:basedOn w:val="Normal"/>
    <w:next w:val="Normal"/>
    <w:link w:val="TitleChar"/>
    <w:uiPriority w:val="10"/>
    <w:qFormat/>
    <w:rsid w:val="00DA4F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4F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4F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4F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4F14"/>
    <w:pPr>
      <w:spacing w:before="160"/>
      <w:jc w:val="center"/>
    </w:pPr>
    <w:rPr>
      <w:i/>
      <w:iCs/>
      <w:color w:val="404040" w:themeColor="text1" w:themeTint="BF"/>
    </w:rPr>
  </w:style>
  <w:style w:type="character" w:customStyle="1" w:styleId="QuoteChar">
    <w:name w:val="Quote Char"/>
    <w:basedOn w:val="DefaultParagraphFont"/>
    <w:link w:val="Quote"/>
    <w:uiPriority w:val="29"/>
    <w:rsid w:val="00DA4F14"/>
    <w:rPr>
      <w:i/>
      <w:iCs/>
      <w:color w:val="404040" w:themeColor="text1" w:themeTint="BF"/>
    </w:rPr>
  </w:style>
  <w:style w:type="paragraph" w:styleId="ListParagraph">
    <w:name w:val="List Paragraph"/>
    <w:basedOn w:val="Normal"/>
    <w:uiPriority w:val="34"/>
    <w:qFormat/>
    <w:rsid w:val="00DA4F14"/>
    <w:pPr>
      <w:ind w:left="720"/>
      <w:contextualSpacing/>
    </w:pPr>
  </w:style>
  <w:style w:type="character" w:styleId="IntenseEmphasis">
    <w:name w:val="Intense Emphasis"/>
    <w:basedOn w:val="DefaultParagraphFont"/>
    <w:uiPriority w:val="21"/>
    <w:qFormat/>
    <w:rsid w:val="00DA4F14"/>
    <w:rPr>
      <w:i/>
      <w:iCs/>
      <w:color w:val="0F4761" w:themeColor="accent1" w:themeShade="BF"/>
    </w:rPr>
  </w:style>
  <w:style w:type="paragraph" w:styleId="IntenseQuote">
    <w:name w:val="Intense Quote"/>
    <w:basedOn w:val="Normal"/>
    <w:next w:val="Normal"/>
    <w:link w:val="IntenseQuoteChar"/>
    <w:uiPriority w:val="30"/>
    <w:qFormat/>
    <w:rsid w:val="00DA4F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4F14"/>
    <w:rPr>
      <w:i/>
      <w:iCs/>
      <w:color w:val="0F4761" w:themeColor="accent1" w:themeShade="BF"/>
    </w:rPr>
  </w:style>
  <w:style w:type="character" w:styleId="IntenseReference">
    <w:name w:val="Intense Reference"/>
    <w:basedOn w:val="DefaultParagraphFont"/>
    <w:uiPriority w:val="32"/>
    <w:qFormat/>
    <w:rsid w:val="00DA4F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983</TotalTime>
  <Pages>3</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San Joaquin County</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Hightower, Jeffrey [LAFCO]</dc:creator>
  <cp:keywords/>
  <dc:description/>
  <cp:lastModifiedBy>Hightower, Jeffrey [LAFCO]</cp:lastModifiedBy>
  <cp:revision>2</cp:revision>
  <dcterms:created xsi:type="dcterms:W3CDTF">2025-06-04T15:06:00Z</dcterms:created>
  <dcterms:modified xsi:type="dcterms:W3CDTF">2025-06-04T15:06:00Z</dcterms:modified>
</cp:coreProperties>
</file>